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>
      <w:pPr>
        <w:pStyle w:val="Normal"/>
        <w:tabs>
          <w:tab w:val="clear" w:pos="708"/>
          <w:tab w:val="left" w:pos="225" w:leader="none"/>
          <w:tab w:val="left" w:pos="585" w:leader="none"/>
        </w:tabs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ab/>
        <w:tab/>
        <w:tab/>
        <w:tab/>
        <w:t xml:space="preserve">Сводный отчет о проведении оценки регулирующего воздействия проекта </w:t>
      </w: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eastAsia="ru-RU"/>
        </w:rPr>
      </w:r>
    </w:p>
    <w:tbl>
      <w:tblPr>
        <w:tblW w:w="1034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929"/>
        <w:gridCol w:w="4869"/>
      </w:tblGrid>
      <w:tr>
        <w:trPr>
          <w:trHeight w:val="996" w:hRule="atLeast"/>
          <w:cantSplit w:val="true"/>
        </w:trPr>
        <w:tc>
          <w:tcPr>
            <w:tcW w:w="25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проведения публичного обсуждения проекта акта: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Начало: «21» ноября 2025г.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Окончание: «11» декабря 2025г.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36830</wp:posOffset>
                      </wp:positionV>
                      <wp:extent cx="442595" cy="212725"/>
                      <wp:effectExtent l="0" t="0" r="0" b="0"/>
                      <wp:wrapSquare wrapText="bothSides"/>
                      <wp:docPr id="1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path="m0,0l-2147483645,0l-2147483645,-2147483646l0,-2147483646xe" fillcolor="white" stroked="f" o:allowincell="t" style="position:absolute;margin-left:-0.05pt;margin-top:2.9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Структурное подразделение администрации Унечского района (далее-разработчик):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Сектор контроля администрации Унечского района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3" name="Врезк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структурных подразделениях администрации Унечского района - соисполнителях: нет</w:t>
            </w:r>
          </w:p>
        </w:tc>
      </w:tr>
      <w:tr>
        <w:trPr>
          <w:trHeight w:val="982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" name="Врезка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Вид и наименование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5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Решения Унечского районного совета народных депутатов 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«Об утверждении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      </w:r>
          </w:p>
        </w:tc>
      </w:tr>
      <w:tr>
        <w:trPr>
          <w:trHeight w:val="114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7" name="Врезк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проблемы, на решение которой направлен предлагаемый способ регулирования: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/>
            </w:pP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В соответствии с Федеральным законом  от 31 июля 2020 года № 248-ФЗ «О государственном контроле (надзоре) и муниципальном контроле в Российской Федерации», Федеральным законом  от 20.03.2025 № 33-ФЗ «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 xml:space="preserve">»,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  <w:lang w:eastAsia="en-US"/>
              </w:rPr>
              <w:t>Постановлением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      </w:r>
            <w:r>
              <w:rPr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, руководствуясь Уставом Унечского муниципального района Брянской области, Унечский районный  Совет народных депутатов</w:t>
            </w:r>
          </w:p>
          <w:p>
            <w:pPr>
              <w:pStyle w:val="Standard"/>
              <w:widowControl w:val="false"/>
              <w:spacing w:before="240" w:after="0"/>
              <w:ind w:left="0" w:right="0" w:firstLine="709"/>
              <w:jc w:val="both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shd w:fill="FFFFFF" w:val="clear"/>
              </w:rPr>
            </w:pPr>
            <w:r>
              <w:rPr>
                <w:color w:val="000000"/>
              </w:rPr>
              <w:t>РЕШИЛ</w:t>
            </w:r>
            <w:r>
              <w:rPr/>
              <w:t>: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pacing w:val="8"/>
                <w:sz w:val="24"/>
                <w:szCs w:val="24"/>
                <w:shd w:fill="FFFFFF" w:val="clear"/>
              </w:rPr>
              <w:t>1.</w:t>
            </w:r>
            <w:r>
              <w:rPr>
                <w:rFonts w:cs="Times New Roman" w:ascii="Times New Roman" w:hAnsi="Times New Roman"/>
                <w:bCs/>
                <w:color w:val="000000"/>
                <w:spacing w:val="8"/>
                <w:sz w:val="24"/>
                <w:szCs w:val="24"/>
                <w:shd w:fill="FFFFFF" w:val="clear"/>
              </w:rPr>
              <w:t xml:space="preserve"> Утвердить  Положение по осуществлению муниципального жилищного контроля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pacing w:val="8"/>
                <w:sz w:val="24"/>
                <w:szCs w:val="24"/>
                <w:shd w:fill="FFFFFF" w:val="clear"/>
              </w:rPr>
              <w:t>в границах Унечского муниципального района Брянской области, в том числе границах  сельских поселений Унечского муниципального  района Брянской области.</w:t>
            </w:r>
          </w:p>
          <w:p>
            <w:pPr>
              <w:pStyle w:val="Normal"/>
              <w:widowControl w:val="false"/>
              <w:ind w:left="0" w:right="0" w:firstLine="708"/>
              <w:jc w:val="both"/>
              <w:rPr>
                <w:rFonts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spacing w:val="8"/>
                <w:sz w:val="24"/>
                <w:szCs w:val="24"/>
              </w:rPr>
              <w:t>Отменить:</w:t>
            </w:r>
          </w:p>
          <w:p>
            <w:pPr>
              <w:pStyle w:val="Standard"/>
              <w:widowControl w:val="false"/>
              <w:shd w:val="clear" w:fill="FFFFFF"/>
              <w:spacing w:before="0" w:after="200"/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2. 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Решение Унечского районного Совета народных депутатов от 28.05.2025 № 7 </w:t>
            </w: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>-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 66 «Об утверждении Положения о муниципальном жилищном контроле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>в</w:t>
            </w:r>
            <w:r>
              <w:rPr>
                <w:rFonts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8"/>
                <w:sz w:val="24"/>
                <w:szCs w:val="24"/>
                <w:u w:val="none"/>
              </w:rPr>
              <w:t xml:space="preserve"> границах Унечского муниципального района Брянской области, в том числе в границах  сельских поселений Унечского муниципального  района Брянской области.</w:t>
            </w:r>
          </w:p>
        </w:tc>
      </w:tr>
      <w:tr>
        <w:trPr>
          <w:trHeight w:val="298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9" name="Врезка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Основание для разработки проекта акта: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Конституция Российской Федерации;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Жилищный кодекс Российской Федерации (далее – ЖК РФ)</w:t>
            </w:r>
            <w:r>
              <w:rPr>
                <w:rFonts w:cs="Times New Roman" w:ascii="Times New Roman" w:hAnsi="Times New Roman"/>
                <w:smallCaps/>
                <w:sz w:val="24"/>
                <w:szCs w:val="24"/>
              </w:rPr>
              <w:t>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закона от 6 октября 2003 года № 131-ФЗ «Об общих принципах организации местного  самоуправления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Федеральный закон от 31 июля 2020   года № 248-ФЗ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4 августа 2023 г.  № 483-ФЗ «О внесении изменений в статью 52 Федерального закона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>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" w:hAnsi="Times New Roman" w:cs="Times New Roman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Федеральный закон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0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8"/>
                <w:sz w:val="24"/>
                <w:szCs w:val="24"/>
                <w:shd w:fill="FFFFFF" w:val="clear"/>
              </w:rPr>
              <w:t>Федеральный закон от 20.03.2025 № 33-ФЗ «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  самоуправления  в единой системе публичной власти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72F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>
                <w:rFonts w:ascii="times new roman;times" w:hAnsi="times new roman;times" w:cs="times new roman;times"/>
                <w:b w:val="false"/>
                <w:i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- отдельные законодательные акты Российской Федерации»;</w:t>
            </w:r>
          </w:p>
          <w:p>
            <w:pPr>
              <w:pStyle w:val="BodyTextIndent"/>
              <w:widowControl w:val="false"/>
              <w:suppressAutoHyphens w:val="true"/>
              <w:bidi w:val="0"/>
              <w:spacing w:before="0" w:after="0"/>
              <w:ind w:left="0" w:right="113" w:hanging="0"/>
              <w:jc w:val="both"/>
              <w:rPr/>
            </w:pPr>
            <w:r>
              <w:rPr>
                <w:rFonts w:cs="times new roman;times" w:ascii="times new roman;times" w:hAnsi="times new roman;times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-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 Устав  муниципального образования «Унечский муниципальный район Брянской области».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1" name="Врезка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77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77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целей предлагаемого регулирования: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- соблюдение норм действующего законодательства.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Краткое описание предлагаемого способа регулирования: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Проекта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Решения Унечского районного совета народных депутатов 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 xml:space="preserve">«Об утверждении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положения о муниципальном жилищном контроле в границах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" name="Врезка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Унечского муниципального района Брянской области, в том числе границах  сельских поселений Унечского муниципального  района Брянской области».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" name="Врезка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8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8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Контактная информация исполнителя разработчика:</w:t>
            </w:r>
          </w:p>
        </w:tc>
      </w:tr>
      <w:tr>
        <w:trPr>
          <w:trHeight w:val="47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Ф.И.О. Людькова Валентина Алексеевна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должность: Главный специалист сектора контроля администрации Унечского района</w:t>
            </w:r>
          </w:p>
        </w:tc>
      </w:tr>
      <w:tr>
        <w:trPr>
          <w:trHeight w:val="80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Телефон, 8(48351)2-45-47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24547lv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trHeight w:val="68" w:hRule="atLeast"/>
          <w:cantSplit w:val="true"/>
        </w:trPr>
        <w:tc>
          <w:tcPr>
            <w:tcW w:w="10347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Степень регулирующего воздействия проекта акта</w:t>
            </w:r>
          </w:p>
        </w:tc>
      </w:tr>
      <w:tr>
        <w:trPr>
          <w:cantSplit w:val="true"/>
        </w:trPr>
        <w:tc>
          <w:tcPr>
            <w:tcW w:w="547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7" name="Врезка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регулирующего воздействия проекта акта:</w:t>
            </w:r>
          </w:p>
        </w:tc>
        <w:tc>
          <w:tcPr>
            <w:tcW w:w="48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ru-RU" w:eastAsia="ru-RU"/>
              </w:rPr>
              <w:t>средняя</w:t>
            </w:r>
          </w:p>
        </w:tc>
      </w:tr>
      <w:tr>
        <w:trPr>
          <w:trHeight w:val="117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9" name="Врезка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4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4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отнесения проекта акта к определенной степени регулирующего воздействия: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Полож Положения проекта муниципального правового акта  содержат положения, изменяющие ранее предусмотренные законодательством Российской Федерации и иными правовыми актами обязанности, запреты и ограничения для физических и юридических лиц в сфере предпринимательской и инвестиционной деятельности или способствующие их установлению.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>
        <w:trPr>
          <w:trHeight w:val="618" w:hRule="atLeast"/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1" name="Врезка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в связи с утверждением нового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Положения 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>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u w:val="single"/>
              </w:rPr>
              <w:t>в соответствие с требованиями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Федерального закона от 31.07.2020 N 248-ФЗ (ред. от 28.12.2024) "О государственном контроле (надзоре) и муниципальном контроле в Российской Федерации", Жилищным кодексом Российской Федерации</w:t>
            </w:r>
          </w:p>
        </w:tc>
      </w:tr>
      <w:tr>
        <w:trPr>
          <w:trHeight w:val="5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Негативные эффекты, возникающие в связи с наличием проблемы: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3" name="Врезка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отсутствуют.</w:t>
            </w:r>
          </w:p>
        </w:tc>
      </w:tr>
      <w:tr>
        <w:trPr>
          <w:trHeight w:val="571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5" name="Врезка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четкая регламентация административных процедур.</w:t>
            </w:r>
          </w:p>
        </w:tc>
      </w:tr>
      <w:tr>
        <w:trPr>
          <w:trHeight w:val="835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7" name="Врезка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>
            <w:pPr>
              <w:pStyle w:val="Normal"/>
              <w:widowControl w:val="false"/>
              <w:ind w:left="0" w:right="0" w:firstLine="3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Причины невозможности решения проблемы участниками соответствующих отношений самостоятельно без вмешательства государства: отсутствуют.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ind w:left="0" w:right="0"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29" name="Врезка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закон от 26.12.2008г. № 294-ФЗ (ред. от 26.12.2024г.) «О защите прав юридических лиц и индивидуальных предпринимателей при осуществлении государственного контроля (надзора) и муниципального контроля», Жилищный кодекс Российской Федерации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31" name="Врезка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3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3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проблеме: отсутствует.</w:t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Анализ опыта других регионов в соответствующих сферах деятельности</w:t>
            </w:r>
          </w:p>
          <w:p>
            <w:pPr>
              <w:pStyle w:val="Normal"/>
              <w:widowControl w:val="false"/>
              <w:numPr>
                <w:ilvl w:val="0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347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183515"/>
                      <wp:effectExtent l="0" t="0" r="0" b="0"/>
                      <wp:wrapSquare wrapText="bothSides"/>
                      <wp:docPr id="33" name="Врезка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18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7" path="m0,0l-2147483645,0l-2147483645,-2147483646l0,-2147483646xe" fillcolor="white" stroked="f" o:allowincell="t" style="position:absolute;margin-left:-0.05pt;margin-top:1.45pt;width:34.8pt;height:14.4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Опыт других регионов в соответствующих сферах деятельности: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Аналогично опыта других регионов</w:t>
            </w:r>
          </w:p>
        </w:tc>
      </w:tr>
      <w:tr>
        <w:trPr>
          <w:trHeight w:val="360" w:hRule="atLeast"/>
          <w:cantSplit w:val="true"/>
        </w:trPr>
        <w:tc>
          <w:tcPr>
            <w:tcW w:w="10347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183515"/>
                      <wp:effectExtent l="0" t="0" r="0" b="0"/>
                      <wp:wrapSquare wrapText="bothSides"/>
                      <wp:docPr id="35" name="Врезка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183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6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8" path="m0,0l-2147483645,0l-2147483645,-2147483646l0,-2147483646xe" fillcolor="white" stroked="f" o:allowincell="t" style="position:absolute;margin-left:-0.05pt;margin-top:1.45pt;width:34.8pt;height:14.4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6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Информация, размещенная в справочно-правовой системе Консультант Плюс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305" w:type="dxa"/>
        <w:jc w:val="left"/>
        <w:tblInd w:w="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0"/>
        <w:gridCol w:w="3974"/>
      </w:tblGrid>
      <w:tr>
        <w:trPr>
          <w:cantSplit w:val="true"/>
        </w:trPr>
        <w:tc>
          <w:tcPr>
            <w:tcW w:w="10304" w:type="dxa"/>
            <w:gridSpan w:val="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органа местного самоуправления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1026" w:right="0" w:hanging="99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2125" cy="212725"/>
                      <wp:effectExtent l="0" t="0" r="0" b="0"/>
                      <wp:wrapSquare wrapText="bothSides"/>
                      <wp:docPr id="37" name="Врезка1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1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6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path="m0,0l-2147483645,0l-2147483645,-2147483646l0,-2147483646xe" fillcolor="white" stroked="f" o:allowincell="t" style="position:absolute;margin-left:-0.05pt;margin-top:1.45pt;width:38.7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62"/>
                            </w:tblGrid>
                            <w:tr>
                              <w:trPr/>
                              <w:tc>
                                <w:tcPr>
                                  <w:tcW w:w="7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регулирования: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92125" cy="212725"/>
                      <wp:effectExtent l="0" t="0" r="0" b="0"/>
                      <wp:wrapSquare wrapText="bothSides"/>
                      <wp:docPr id="39" name="Врезка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1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6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6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0" path="m0,0l-2147483645,0l-2147483645,-2147483646l0,-2147483646xe" fillcolor="white" stroked="f" o:allowincell="t" style="position:absolute;margin-left:-0.05pt;margin-top:1.45pt;width:38.7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62"/>
                            </w:tblGrid>
                            <w:tr>
                              <w:trPr/>
                              <w:tc>
                                <w:tcPr>
                                  <w:tcW w:w="7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Установленные сроки достижения целей предлагаемого регулирования:</w:t>
            </w:r>
          </w:p>
        </w:tc>
      </w:tr>
      <w:tr>
        <w:trPr>
          <w:trHeight w:val="298" w:hRule="atLeast"/>
          <w:cantSplit w:val="true"/>
        </w:trPr>
        <w:tc>
          <w:tcPr>
            <w:tcW w:w="633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соблюдение действующего законодательства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Постоянно</w:t>
            </w:r>
          </w:p>
        </w:tc>
      </w:tr>
      <w:tr>
        <w:trPr>
          <w:trHeight w:val="298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mc:AlternateContent>
                <mc:Choice Requires="wps">
                  <w:drawing>
                    <wp:anchor behindDoc="0" distT="0" distB="0" distL="0" distR="113030" simplePos="0" locked="0" layoutInCell="1" allowOverlap="1" relativeHeight="4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33655</wp:posOffset>
                      </wp:positionV>
                      <wp:extent cx="442595" cy="212725"/>
                      <wp:effectExtent l="0" t="0" r="0" b="0"/>
                      <wp:wrapSquare wrapText="bothSides"/>
                      <wp:docPr id="41" name="Врезка2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1" path="m0,0l-2147483645,0l-2147483645,-2147483646l0,-2147483646xe" fillcolor="white" stroked="f" o:allowincell="t" style="position:absolute;margin-left:-5.4pt;margin-top:2.65pt;width:34.8pt;height:16.7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Брянской области и Правительства Брянской области, Унечского районного Совета народных депутатов, Унечского городского Совета народных депутатов, администрации Унечского района: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Жилищный кодекс Российской Федерации;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0" w:right="227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hyperlink r:id="rId2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06.10.2003 N131-ФЗ "Об общих принципах организации местного самоуправления в Российской Федерации"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, </w:t>
            </w:r>
            <w:hyperlink r:id="rId3">
              <w:r>
                <w:rPr>
                  <w:rStyle w:val="Hyperlink"/>
                  <w:rFonts w:cs="Times New Roman" w:ascii="Times New Roman" w:hAnsi="Times New Roman"/>
                  <w:sz w:val="24"/>
                  <w:szCs w:val="24"/>
                </w:rPr>
                <w:t>Федеральный закон от 26.12.2008 N294-ФЗ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  <w:r>
              <w:rPr>
                <w:rStyle w:val="Hyperlink"/>
                <w:rFonts w:cs="Times New Roman"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Style w:val="Hyperlink"/>
                <w:rFonts w:cs="Times New Roman" w:ascii="Times New Roman" w:hAnsi="Times New Roman"/>
                <w:sz w:val="24"/>
                <w:szCs w:val="24"/>
                <w:shd w:fill="FFFFFF" w:val="clear"/>
              </w:rPr>
              <w:t xml:space="preserve">- </w:t>
            </w:r>
            <w:r>
              <w:rPr>
                <w:rStyle w:val="Hyperlink"/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Федеральный закон от 20.03.2025 № 33-ФЗ «</w:t>
            </w:r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Об общих принципах организации  местного</w:t>
            </w:r>
            <w:r>
              <w:rPr>
                <w:rStyle w:val="Hyperlink"/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  </w:t>
            </w:r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 xml:space="preserve">самоуправления </w:t>
            </w:r>
            <w:r>
              <w:rPr>
                <w:rStyle w:val="Hyperlink"/>
                <w:rFonts w:cs="Times New Roman" w:ascii="Times New Roman" w:hAnsi="Times New Roman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 </w:t>
            </w:r>
            <w:r>
              <w:rPr>
                <w:rStyle w:val="Hyperlink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sz w:val="24"/>
                <w:szCs w:val="24"/>
                <w:shd w:fill="FFFFFF" w:val="clear"/>
              </w:rPr>
              <w:t>в единой системе публичной власти</w:t>
            </w:r>
            <w:r>
              <w:rPr>
                <w:rStyle w:val="Hyperlink"/>
                <w:rFonts w:cs="Times New Roman" w:ascii="Times New Roman" w:hAnsi="Times New Roman"/>
                <w:spacing w:val="8"/>
                <w:sz w:val="24"/>
                <w:szCs w:val="24"/>
                <w:shd w:fill="FFFFFF" w:val="clear"/>
              </w:rPr>
              <w:t>»;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4" w:right="0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Постановление Правительства РФ от 16.05.2011 N 373 (ред. от 20.07.2021)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-57" w:right="113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sz w:val="24"/>
                <w:szCs w:val="24"/>
                <w:u w:val="none"/>
              </w:rPr>
              <w:t xml:space="preserve">Постановление Правительства РФ от 20.07.2021 N 1228 (ред. от 28.04.2025) </w:t>
            </w:r>
            <w:hyperlink r:id="rId4">
              <w:r>
                <w:rPr>
                  <w:rStyle w:val="Hyperlink"/>
                  <w:rFonts w:cs="Times New Roman" w:ascii="Times New Roman" w:hAnsi="Times New Roman"/>
                  <w:b w:val="false"/>
                  <w:i w:val="false"/>
                  <w:strike w:val="false"/>
                  <w:dstrike w:val="false"/>
                  <w:color w:val="0000FF"/>
                  <w:sz w:val="24"/>
                  <w:szCs w:val="24"/>
                  <w:u w:val="none"/>
                </w:rPr>
                <w:t>"Об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Федерации"</w:t>
              </w:r>
            </w:hyperlink>
            <w:r>
              <w:rPr>
                <w:rStyle w:val="Hyperlink"/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color w:val="0000FF"/>
                <w:sz w:val="24"/>
                <w:szCs w:val="24"/>
                <w:u w:val="none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-57" w:right="113" w:hanging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Поряд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 проведения экспертизы проектов административных регламентов предоставления государственных услуг";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-57" w:right="113" w:hanging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Устав муниципального образования «Унечский муниципальный район».</w:t>
            </w:r>
          </w:p>
        </w:tc>
      </w:tr>
      <w:tr>
        <w:trPr>
          <w:trHeight w:val="440" w:hRule="atLeast"/>
          <w:cantSplit w:val="true"/>
        </w:trPr>
        <w:tc>
          <w:tcPr>
            <w:tcW w:w="1030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3" name="Врезка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0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0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целях предлагаемого регулирования: отсутствует.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71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6"/>
        <w:gridCol w:w="1444"/>
        <w:gridCol w:w="66"/>
        <w:gridCol w:w="75"/>
        <w:gridCol w:w="272"/>
        <w:gridCol w:w="580"/>
        <w:gridCol w:w="283"/>
        <w:gridCol w:w="426"/>
        <w:gridCol w:w="487"/>
        <w:gridCol w:w="1497"/>
        <w:gridCol w:w="142"/>
        <w:gridCol w:w="10"/>
        <w:gridCol w:w="473"/>
        <w:gridCol w:w="276"/>
        <w:gridCol w:w="56"/>
        <w:gridCol w:w="7"/>
        <w:gridCol w:w="33"/>
        <w:gridCol w:w="101"/>
        <w:gridCol w:w="390"/>
        <w:gridCol w:w="1347"/>
        <w:gridCol w:w="45"/>
        <w:gridCol w:w="33"/>
      </w:tblGrid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5" name="Врезка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предлагаемого способа решения проблемы и преодоления, связанных с ней негативных эффектов: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- принять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2"/>
                <w:sz w:val="24"/>
                <w:szCs w:val="24"/>
                <w:lang w:eastAsia="ru-RU"/>
              </w:rPr>
              <w:t>Решения Унечского районного совета народных депутатов «Об утверждении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 п</w:t>
            </w:r>
            <w:r>
              <w:rPr>
                <w:rFonts w:cs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оложения по осуществлению муниципального жилищного контроля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kern w:val="2"/>
                <w:sz w:val="24"/>
                <w:szCs w:val="24"/>
                <w:lang w:eastAsia="ru-RU"/>
              </w:rPr>
              <w:t>в границах Унечского муниципального района Брянской области, в том числе в границах  сельских поселений Унечского муниципального  района Брянской области».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Описание иных способов решения проблемы (с указанием того, каким образом каждым из способов могла бы быть решена проблема: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7" name="Врезка2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 разрабатывать документ, продолжая работать в рамках действующего Законодательства.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4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49" name="Врезка2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Обоснование выбора предлагаемого способа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определение должностных лиц, ответственных за выполнение отдельных административных процедур и административных действий;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упорядочение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устранение избыточных административных процедур;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 четкая регламентация действий при осуществлении функции муниципального жилищного контроля.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1" name="Врезка2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0"/>
                                            <w:numId w:val="12"/>
                                          </w:numPr>
                                          <w:snapToGrid w:val="false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0"/>
                                      <w:numId w:val="12"/>
                                    </w:numPr>
                                    <w:snapToGrid w:val="false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Иная информация о предлагаемом способе решения проблемы: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группы субъектов предпринимательской и инвестиционной деятельности, иные заинтересованные лица,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7" w:hRule="atLeast"/>
          <w:cantSplit w:val="true"/>
        </w:trPr>
        <w:tc>
          <w:tcPr>
            <w:tcW w:w="7796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3" name="Врезка2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</w:p>
        </w:tc>
        <w:tc>
          <w:tcPr>
            <w:tcW w:w="283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hanging="851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5" name="Врезка2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ind w:left="0" w:right="0" w:hanging="720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ind w:left="0" w:right="0" w:hanging="720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количества участников отношений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602" w:hRule="atLeast"/>
          <w:cantSplit w:val="true"/>
        </w:trPr>
        <w:tc>
          <w:tcPr>
            <w:tcW w:w="7796" w:type="dxa"/>
            <w:gridSpan w:val="1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28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установлена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Администрация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5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57" name="Врезка2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5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5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Унечского муниципального района.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функции, полномочия, обязанности и права исполнительных органов государственной власти Брянской области и органов местного самоуправления или их изменение, а также порядок их реализации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1760" distR="114300" simplePos="0" locked="0" layoutInCell="1" allowOverlap="1" relativeHeight="6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59" name="Врезка3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0" path="m0,0l-2147483645,0l-2147483645,-2147483646l0,-2147483646xe" fillcolor="white" stroked="f" o:allowincell="t" style="position:absolute;margin-left:90.2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3898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1760" distR="114300" simplePos="0" locked="0" layoutInCell="1" allowOverlap="1" relativeHeight="6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61" name="Врезка3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1" path="m0,0l-2147483645,0l-2147483645,-2147483646l0,-2147483646xe" fillcolor="white" stroked="f" o:allowincell="t" style="position:absolute;margin-left:74.6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реализации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1760" distR="114300" simplePos="0" locked="0" layoutInCell="1" allowOverlap="1" relativeHeight="6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63" name="Врезка3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9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kern w:val="2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2" path="m0,0l-2147483645,0l-2147483645,-2147483646l0,-2147483646xe" fillcolor="white" stroked="f" o:allowincell="t" style="position:absolute;margin-left:32.4pt;margin-top:0.0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9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kern w:val="2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изменения трудозатрат и (или) потребностей в иных ресурсах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муниципального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523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3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566" w:hRule="atLeast"/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соответствующих расходов (возможных поступлений) местных бюджетов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5386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6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65" name="Врезка3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3" path="m0,0l-2147483645,0l-2147483645,-2147483646l0,-2147483646xe" fillcolor="white" stroked="f" o:allowincell="t" style="position:absolute;margin-left:111.8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новой или изменяемой функции, полномочия, обязанности или права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3367" w:type="dxa"/>
            <w:gridSpan w:val="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6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67" name="Врезка3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4" path="m0,0l-2147483645,0l-2147483645,-2147483646l0,-2147483646xe" fillcolor="white" stroked="f" o:allowincell="t" style="position:absolute;margin-left:61.3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Описание видов расходов (возможных поступлений) бюджета района: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Дополнительных расходов принятие данного нормативного правового акта не повлечет.</w:t>
            </w:r>
          </w:p>
        </w:tc>
        <w:tc>
          <w:tcPr>
            <w:tcW w:w="1878" w:type="dxa"/>
            <w:gridSpan w:val="5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7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5265"/>
                      <wp:effectExtent l="0" t="0" r="0" b="0"/>
                      <wp:wrapSquare wrapText="bothSides"/>
                      <wp:docPr id="69" name="Врезка3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5" path="m0,0l-2147483645,0l-2147483645,-2147483646l0,-2147483646xe" fillcolor="white" stroked="f" o:allowincell="t" style="position:absolute;margin-left:24.1pt;margin-top:1.45pt;width:34.8pt;height:16.9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Количественная оценка расходов (возможных поступлений):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5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left="742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Наименование органа</w:t>
            </w:r>
            <w:r>
              <w:rPr>
                <w:rStyle w:val="FootnoteReference"/>
                <w:sz w:val="24"/>
                <w:szCs w:val="24"/>
              </w:rPr>
              <w:footnoteReference w:id="3"/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358140" cy="215265"/>
                      <wp:effectExtent l="0" t="0" r="0" b="0"/>
                      <wp:wrapSquare wrapText="bothSides"/>
                      <wp:docPr id="71" name="Врезка3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200" cy="21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551"/>
                                  </w:tblGrid>
                                  <w:tr>
                                    <w:trPr>
                                      <w:trHeight w:val="336" w:hRule="atLeast"/>
                                    </w:trPr>
                                    <w:tc>
                                      <w:tcPr>
                                        <w:tcW w:w="55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6" path="m0,0l-2147483645,0l-2147483645,-2147483646l0,-2147483646xe" fillcolor="white" stroked="f" o:allowincell="t" style="position:absolute;margin-left:0pt;margin-top:1.45pt;width:28.15pt;height:16.9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51"/>
                            </w:tblGrid>
                            <w:tr>
                              <w:trPr>
                                <w:trHeight w:val="336" w:hRule="atLeast"/>
                              </w:trPr>
                              <w:tc>
                                <w:tcPr>
                                  <w:tcW w:w="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4" w:hRule="atLeast"/>
          <w:cantSplit w:val="true"/>
        </w:trPr>
        <w:tc>
          <w:tcPr>
            <w:tcW w:w="5386" w:type="dxa"/>
            <w:gridSpan w:val="7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114935" simplePos="0" locked="0" layoutInCell="1" allowOverlap="1" relativeHeight="7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73" name="Врезка3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№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val="en-US" w:eastAsia="ru-RU"/>
              </w:rPr>
              <w:t>.K)</w:t>
            </w:r>
          </w:p>
        </w:tc>
        <w:tc>
          <w:tcPr>
            <w:tcW w:w="3367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Единовременные расходы в___________________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____(год возникновения)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5" name="Врезка3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8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8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kern w:val="2"/>
                <w:sz w:val="24"/>
                <w:szCs w:val="24"/>
                <w:lang w:eastAsia="ru-RU"/>
              </w:rPr>
            </w:r>
          </w:p>
        </w:tc>
        <w:tc>
          <w:tcPr>
            <w:tcW w:w="3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Периодические расходы за период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____________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7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7" name="Врезка3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0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9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0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94" w:hRule="atLeast"/>
          <w:cantSplit w:val="true"/>
        </w:trPr>
        <w:tc>
          <w:tcPr>
            <w:tcW w:w="5386" w:type="dxa"/>
            <w:gridSpan w:val="7"/>
            <w:vMerge w:val="continue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3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Возможные поступления за период _____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______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622935" cy="212725"/>
                      <wp:effectExtent l="0" t="0" r="0" b="0"/>
                      <wp:wrapSquare wrapText="bothSides"/>
                      <wp:docPr id="79" name="Врезка4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96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6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0" path="m0,0l-2147483645,0l-2147483645,-2147483646l0,-2147483646xe" fillcolor="white" stroked="f" o:allowincell="t" style="position:absolute;margin-left:-0.05pt;margin-top:1.45pt;width:49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68"/>
                            </w:tblGrid>
                            <w:tr>
                              <w:trPr/>
                              <w:tc>
                                <w:tcPr>
                                  <w:tcW w:w="9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  <w:cantSplit w:val="true"/>
        </w:trPr>
        <w:tc>
          <w:tcPr>
            <w:tcW w:w="8760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1" name="Врезка4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единовременные расходы:</w:t>
            </w:r>
          </w:p>
        </w:tc>
        <w:tc>
          <w:tcPr>
            <w:tcW w:w="187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left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69" w:hRule="atLeast"/>
        </w:trPr>
        <w:tc>
          <w:tcPr>
            <w:tcW w:w="8760" w:type="dxa"/>
            <w:gridSpan w:val="16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3" name="Врезка4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периодические расходы за год:</w:t>
            </w:r>
          </w:p>
        </w:tc>
        <w:tc>
          <w:tcPr>
            <w:tcW w:w="1871" w:type="dxa"/>
            <w:gridSpan w:val="4"/>
            <w:tcBorders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15" w:hRule="atLeast"/>
          <w:cantSplit w:val="true"/>
        </w:trPr>
        <w:tc>
          <w:tcPr>
            <w:tcW w:w="8760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5" name="Врезка4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Итого возможные поступления за год:</w:t>
            </w:r>
          </w:p>
        </w:tc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8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7" name="Врезка4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расходах (возможных поступлениях) местных бюджетов: 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Источники данных:     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9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89" name="Врезка4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Новые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25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1" name="Врезка4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6" path="m0,0l-2147483645,0l-2147483645,-2147483646l0,-2147483646xe" fillcolor="white" stroked="f" o:allowincell="t" style="position:absolute;margin-left:78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4"/>
            </w:r>
          </w:p>
        </w:tc>
        <w:tc>
          <w:tcPr>
            <w:tcW w:w="4245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3" name="Врезка4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7" path="m0,0l-2147483645,0l-2147483645,-2147483646l0,-2147483646xe" fillcolor="white" stroked="f" o:allowincell="t" style="position:absolute;margin-left:79.7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2210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5" name="Врезка4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2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8" path="m0,0l-2147483645,0l-2147483645,-2147483646l0,-2147483646xe" fillcolor="white" stroked="f" o:allowincell="t" style="position:absolute;margin-left:28.8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2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Порядок организации исполнения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жилищного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2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Положением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ind w:left="600" w:right="0" w:hanging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417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9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7" name="Врезка4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9" path="m0,0l-2147483645,0l-2147483645,-2147483646l0,-2147483646xe" fillcolor="white" stroked="f" o:allowincell="t" style="position:absolute;margin-left:78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Группа участников отношений</w:t>
            </w:r>
            <w:r>
              <w:rPr>
                <w:rStyle w:val="FootnoteReference"/>
                <w:sz w:val="24"/>
                <w:szCs w:val="24"/>
              </w:rPr>
              <w:footnoteReference w:id="5"/>
            </w:r>
          </w:p>
        </w:tc>
        <w:tc>
          <w:tcPr>
            <w:tcW w:w="4617" w:type="dxa"/>
            <w:gridSpan w:val="1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99" name="Врезка5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0" path="m0,0l-2147483645,0l-2147483645,-2147483646l0,-2147483646xe" fillcolor="white" stroked="f" o:allowincell="t" style="position:absolute;margin-left:89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новых или изменения содержания существующих обязанностей и ограничений</w:t>
            </w:r>
            <w:r>
              <w:rPr>
                <w:rStyle w:val="FootnoteReference"/>
                <w:sz w:val="24"/>
                <w:szCs w:val="24"/>
              </w:rPr>
              <w:footnoteReference w:id="6"/>
            </w:r>
          </w:p>
        </w:tc>
        <w:tc>
          <w:tcPr>
            <w:tcW w:w="183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1" name="Врезка5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1" path="m0,0l-2147483645,0l-2147483645,-2147483646l0,-2147483646xe" fillcolor="white" stroked="f" o:allowincell="t" style="position:absolute;margin-left:19.5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 оценка видов расходов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1288" w:hRule="atLeast"/>
          <w:cantSplit w:val="true"/>
        </w:trPr>
        <w:tc>
          <w:tcPr>
            <w:tcW w:w="4176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Юридические лица, индивидуальные предприниматели и граждане</w:t>
            </w:r>
          </w:p>
        </w:tc>
        <w:tc>
          <w:tcPr>
            <w:tcW w:w="46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Осуществление муниципального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жилищного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right="0" w:firstLine="33"/>
              <w:jc w:val="both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</w:rPr>
            </w:r>
          </w:p>
        </w:tc>
      </w:tr>
      <w:tr>
        <w:trPr>
          <w:trHeight w:val="89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0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03" name="Врезка5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11"/>
                                          </w:numPr>
                                          <w:snapToGrid w:val="false"/>
                                          <w:jc w:val="center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11"/>
                                    </w:numPr>
                                    <w:snapToGrid w:val="false"/>
                                    <w:jc w:val="center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36" w:hRule="atLeast"/>
          <w:cantSplit w:val="true"/>
        </w:trPr>
        <w:tc>
          <w:tcPr>
            <w:tcW w:w="4251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5" name="Врезка5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3" path="m0,0l-2147483645,0l-2147483645,-2147483646l0,-2147483646xe" fillcolor="white" stroked="f" o:allowincell="t" style="position:absolute;margin-left:79.8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561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0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7" name="Врезка5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4" path="m0,0l-2147483645,0l-2147483645,-2147483646l0,-2147483646xe" fillcolor="white" stroked="f" o:allowincell="t" style="position:absolute;margin-left:12.6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Оценки вероятности наступления рисков</w:t>
            </w:r>
          </w:p>
        </w:tc>
        <w:tc>
          <w:tcPr>
            <w:tcW w:w="3472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1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09" name="Врезка5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5" path="m0,0l-2147483645,0l-2147483645,-2147483646l0,-2147483646xe" fillcolor="white" stroked="f" o:allowincell="t" style="position:absolute;margin-left:60.4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3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1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532765" cy="212725"/>
                      <wp:effectExtent l="0" t="0" r="0" b="0"/>
                      <wp:wrapSquare wrapText="bothSides"/>
                      <wp:docPr id="111" name="Врезка5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80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2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82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6" path="m0,0l-2147483645,0l-2147483645,-2147483646l0,-2147483646xe" fillcolor="white" stroked="f" o:allowincell="t" style="position:absolute;margin-left:7.25pt;margin-top:1.45pt;width:41.9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6"/>
                            </w:tblGrid>
                            <w:tr>
                              <w:trPr/>
                              <w:tc>
                                <w:tcPr>
                                  <w:tcW w:w="8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4" w:right="0" w:hanging="1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Степень контроля рисков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50" w:hRule="atLeast"/>
          <w:cantSplit w:val="true"/>
        </w:trPr>
        <w:tc>
          <w:tcPr>
            <w:tcW w:w="4251" w:type="dxa"/>
            <w:gridSpan w:val="4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Не соблюдение требований федерального законодательства в области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жилищного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34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мониторинг сроков предоставления муниципальной услуги.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1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556895" cy="212725"/>
                      <wp:effectExtent l="0" t="0" r="0" b="0"/>
                      <wp:wrapSquare wrapText="bothSides"/>
                      <wp:docPr id="113" name="Врезка5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92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864"/>
                                  </w:tblGrid>
                                  <w:tr>
                                    <w:trPr>
                                      <w:trHeight w:val="326" w:hRule="atLeast"/>
                                    </w:trPr>
                                    <w:tc>
                                      <w:tcPr>
                                        <w:tcW w:w="86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keepNext w:val="true"/>
                                          <w:widowControl w:val="false"/>
                                          <w:numPr>
                                            <w:ilvl w:val="1"/>
                                            <w:numId w:val="7"/>
                                          </w:numPr>
                                          <w:snapToGrid w:val="false"/>
                                          <w:jc w:val="right"/>
                                          <w:outlineLvl w:val="0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kern w:val="2"/>
                                            <w:sz w:val="24"/>
                                            <w:szCs w:val="24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7" path="m0,0l-2147483645,0l-2147483645,-2147483646l0,-2147483646xe" fillcolor="white" stroked="f" o:allowincell="t" style="position:absolute;margin-left:-0.05pt;margin-top:1.45pt;width:43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4"/>
                            </w:tblGrid>
                            <w:tr>
                              <w:trPr>
                                <w:trHeight w:val="326" w:hRule="atLeast"/>
                              </w:trPr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widowControl w:val="false"/>
                                    <w:numPr>
                                      <w:ilvl w:val="1"/>
                                      <w:numId w:val="7"/>
                                    </w:numPr>
                                    <w:snapToGrid w:val="false"/>
                                    <w:jc w:val="right"/>
                                    <w:outlineLvl w:val="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 определены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10631" w:type="dxa"/>
            <w:gridSpan w:val="2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/>
            </w:pPr>
            <w:r>
              <w:rPr>
                <w:rFonts w:cs="Times New Roman" w:ascii="Times New Roman" w:hAnsi="Times New Roman"/>
                <w:spacing w:val="-8"/>
                <w:sz w:val="24"/>
                <w:szCs w:val="24"/>
                <w:shd w:fill="auto" w:val="clear"/>
                <w:lang w:eastAsia="ru-RU"/>
              </w:rPr>
              <w:t>Пре</w:t>
            </w: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дполагаемая дата вступления в силу проекта акта 18.12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5" name="Врезка5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8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.2025г.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Необходимость установления переходного периода и (или) отсрочки </w:t>
            </w:r>
            <w:r>
              <w:rPr>
                <w:rFonts w:cs="Times New Roman" w:ascii="Times New Roman" w:hAnsi="Times New Roman"/>
                <w:spacing w:val="-8"/>
                <w:sz w:val="24"/>
                <w:szCs w:val="24"/>
                <w:lang w:eastAsia="ru-RU"/>
              </w:rPr>
              <w:t>введения предлагаемого регулирования</w:t>
            </w: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1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7" name="Врезка5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9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19" name="Врезка6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0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 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20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с момента принятия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21" name="Врезка6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1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Необходимость распространения предлагаемого регулирования на ранее возникшие отношения:</w:t>
            </w:r>
          </w:p>
        </w:tc>
        <w:tc>
          <w:tcPr>
            <w:tcW w:w="1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300" simplePos="0" locked="0" layoutInCell="1" allowOverlap="1" relativeHeight="12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635</wp:posOffset>
                      </wp:positionV>
                      <wp:extent cx="442595" cy="212725"/>
                      <wp:effectExtent l="0" t="0" r="0" b="0"/>
                      <wp:wrapSquare wrapText="bothSides"/>
                      <wp:docPr id="123" name="Врезка6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2" path="m0,0l-2147483645,0l-2147483645,-2147483646l0,-2147483646xe" fillcolor="white" stroked="f" o:allowincell="t" style="position:absolute;margin-left:-0.05pt;margin-top:0.0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срок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(если есть необходимость):</w:t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pBdr>
                <w:bottom w:val="single" w:sz="12" w:space="1" w:color="000000"/>
              </w:pBd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exact" w:line="180"/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(дней до момента вступления в силу проекта муниципального правового акта)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109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5" name="Врезка6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отношения: 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631" w:type="dxa"/>
            <w:gridSpan w:val="20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1" w:hRule="atLeast"/>
          <w:cantSplit w:val="true"/>
        </w:trPr>
        <w:tc>
          <w:tcPr>
            <w:tcW w:w="4110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2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7" name="Врезка6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Мероприятия, необходимые для достижения целей регулирования</w:t>
            </w:r>
          </w:p>
        </w:tc>
        <w:tc>
          <w:tcPr>
            <w:tcW w:w="1276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29" name="Врезка6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5" path="m0,0l-2147483645,0l-2147483645,-2147483646l0,-2147483646xe" fillcolor="white" stroked="f" o:allowincell="t" style="position:absolute;margin-left:9.0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Сроки мероприятий</w:t>
            </w:r>
          </w:p>
        </w:tc>
        <w:tc>
          <w:tcPr>
            <w:tcW w:w="2552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1" name="Врезка6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6" path="m0,0l-2147483645,0l-2147483645,-2147483646l0,-2147483646xe" fillcolor="white" stroked="f" o:allowincell="t" style="position:absolute;margin-left:40.9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ожидаемого результата</w:t>
            </w:r>
          </w:p>
        </w:tc>
        <w:tc>
          <w:tcPr>
            <w:tcW w:w="75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3" name="Врезка6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7" path="m0,0l-2147483645,0l-2147483645,-2147483646l0,-2147483646xe" fillcolor="white" stroked="f" o:allowincell="t" style="position:absolute;margin-left:-3.9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Объем финансирования</w:t>
            </w:r>
          </w:p>
        </w:tc>
        <w:tc>
          <w:tcPr>
            <w:tcW w:w="1934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3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5" name="Врезка6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8" path="m0,0l-2147483645,0l-2147483645,-2147483646l0,-2147483646xe" fillcolor="white" stroked="f" o:allowincell="t" style="position:absolute;margin-left:25.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проекта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Информирование хозяйствующих субъектов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110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Публикация принятого проекта нормативного правового акта на официальном сайте администрации Унечского района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shd w:fill="auto" w:val="clear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течении 5 дней с момента подписания отчета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Информирование </w:t>
            </w: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юридических лиц, индивидуальных предпринимателей и граждан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10631" w:type="dxa"/>
            <w:gridSpan w:val="2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3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7" name="Врезка6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9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не предусмотрен</w:t>
            </w:r>
          </w:p>
        </w:tc>
        <w:tc>
          <w:tcPr>
            <w:tcW w:w="78" w:type="dxa"/>
            <w:gridSpan w:val="2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Индикативные показатели, программы мониторинга и иные способы (методы) оценки достижения заявленных целей регулирования</w:t>
            </w:r>
          </w:p>
        </w:tc>
      </w:tr>
      <w:tr>
        <w:trPr>
          <w:trHeight w:val="914" w:hRule="atLeast"/>
          <w:cantSplit w:val="true"/>
        </w:trPr>
        <w:tc>
          <w:tcPr>
            <w:tcW w:w="266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/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Цели предлагаемого регулирования</w:t>
            </w:r>
            <w:r>
              <w:rPr>
                <w:rStyle w:val="FootnoteReference"/>
                <w:sz w:val="24"/>
                <w:szCs w:val="24"/>
              </w:rPr>
              <w:footnoteReference w:id="7"/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39" name="Врезка7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0" path="m0,0l-2147483645,0l-2147483645,-2147483646l0,-2147483646xe" fillcolor="white" stroked="f" o:allowincell="t" style="position:absolute;margin-left:43.8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/>
          </w:p>
        </w:tc>
        <w:tc>
          <w:tcPr>
            <w:tcW w:w="3633" w:type="dxa"/>
            <w:gridSpan w:val="8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1" name="Врезка7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>
                                      <w:trHeight w:val="128" w:hRule="atLeast"/>
                                    </w:trPr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1" path="m0,0l-2147483645,0l-2147483645,-2147483646l0,-2147483646xe" fillcolor="white" stroked="f" o:allowincell="t" style="position:absolute;margin-left:67.9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>
                                <w:trHeight w:val="128" w:hRule="atLeast"/>
                              </w:trPr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Индикативные показатели</w:t>
            </w:r>
          </w:p>
        </w:tc>
        <w:tc>
          <w:tcPr>
            <w:tcW w:w="164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4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3" name="Врезка7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2" path="m0,0l-2147483645,0l-2147483645,-2147483646l0,-2147483646xe" fillcolor="white" stroked="f" o:allowincell="t" style="position:absolute;margin-left:18.35pt;margin-top:1.45pt;width:34.8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Единицы измерения индикативных показателей</w:t>
            </w:r>
          </w:p>
        </w:tc>
        <w:tc>
          <w:tcPr>
            <w:tcW w:w="2761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napToGrid w:val="false"/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112395" distR="114935" simplePos="0" locked="0" layoutInCell="1" allowOverlap="1" relativeHeight="14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18415</wp:posOffset>
                      </wp:positionV>
                      <wp:extent cx="460375" cy="212725"/>
                      <wp:effectExtent l="0" t="0" r="0" b="0"/>
                      <wp:wrapSquare wrapText="bothSides"/>
                      <wp:docPr id="145" name="Врезка7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712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71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3" path="m0,0l-2147483645,0l-2147483645,-2147483646l0,-2147483646xe" fillcolor="white" stroked="f" o:allowincell="t" style="position:absolute;margin-left:45.5pt;margin-top:1.45pt;width:36.2pt;height:16.7pt;mso-wrap-style:none;v-text-anchor:middle;mso-position-horizontal:center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2"/>
                            </w:tblGrid>
                            <w:tr>
                              <w:trPr/>
                              <w:tc>
                                <w:tcPr>
                                  <w:tcW w:w="7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33" w:right="0" w:hanging="0"/>
              <w:jc w:val="center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Способы расчета индикативных показателей</w:t>
            </w:r>
          </w:p>
        </w:tc>
      </w:tr>
      <w:tr>
        <w:trPr>
          <w:trHeight w:val="654" w:hRule="atLeast"/>
          <w:cantSplit w:val="true"/>
        </w:trPr>
        <w:tc>
          <w:tcPr>
            <w:tcW w:w="266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соблюдение действующего законодательства</w:t>
            </w:r>
          </w:p>
        </w:tc>
        <w:tc>
          <w:tcPr>
            <w:tcW w:w="36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00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Согласно утвержденного плана проверок</w:t>
            </w:r>
          </w:p>
        </w:tc>
        <w:tc>
          <w:tcPr>
            <w:tcW w:w="1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7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4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7" name="Врезка7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Информация о программах мониторинга и иных способах (методах) оценки достижения заявленных целей регулирования: нет</w:t>
            </w:r>
          </w:p>
        </w:tc>
      </w:tr>
      <w:tr>
        <w:trPr>
          <w:trHeight w:val="153" w:hRule="atLeast"/>
          <w:cantSplit w:val="true"/>
        </w:trPr>
        <w:tc>
          <w:tcPr>
            <w:tcW w:w="7938" w:type="dxa"/>
            <w:gridSpan w:val="11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49" name="Врезка7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5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Оценка затрат на осуществление мониторинга (в среднем в год):</w:t>
            </w:r>
          </w:p>
        </w:tc>
        <w:tc>
          <w:tcPr>
            <w:tcW w:w="27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outlineLvl w:val="1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rPr>
          <w:trHeight w:val="153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1" name="Врезка7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6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Описание источников информации для расчета индикаторов: Нет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>
        <w:trPr>
          <w:cantSplit w:val="true"/>
        </w:trPr>
        <w:tc>
          <w:tcPr>
            <w:tcW w:w="10709" w:type="dxa"/>
            <w:gridSpan w:val="2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3" name="Врезка7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7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необходимые, по мнению разработчика, сведения: Нет</w:t>
            </w:r>
          </w:p>
        </w:tc>
      </w:tr>
      <w:tr>
        <w:trPr>
          <w:trHeight w:val="360" w:hRule="atLeast"/>
          <w:cantSplit w:val="true"/>
        </w:trPr>
        <w:tc>
          <w:tcPr>
            <w:tcW w:w="10709" w:type="dxa"/>
            <w:gridSpan w:val="2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5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5" name="Врезка7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8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Источники данных: Нет</w:t>
            </w:r>
          </w:p>
        </w:tc>
      </w:tr>
    </w:tbl>
    <w:p>
      <w:pPr>
        <w:pStyle w:val="Normal"/>
        <w:ind w:left="426" w:righ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tbl>
      <w:tblPr>
        <w:tblW w:w="1049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cantSplit w:val="true"/>
        </w:trPr>
        <w:tc>
          <w:tcPr>
            <w:tcW w:w="10490" w:type="dxa"/>
            <w:tcBorders>
              <w:bottom w:val="doub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ind w:left="600" w:right="0" w:hanging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 проведении публичных консультаций по проекту акта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Полный электронный адрес размещения проекта акта в информационно-телекоммуникационной сети "Интернет": 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unradm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@</w: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.</w:t>
            </w: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58">
                      <wp:simplePos x="0" y="0"/>
                      <wp:positionH relativeFrom="column">
                        <wp:posOffset>-543560</wp:posOffset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7" name="Врезка7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9" path="m0,0l-2147483645,0l-2147483645,-2147483646l0,-2147483646xe" fillcolor="white" stroked="f" o:allowincell="t" style="position:absolute;margin-left:-42.8pt;margin-top:1.45pt;width:34.8pt;height:16.7pt;mso-wrap-style:none;v-text-anchor:middle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eastAsia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0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59" name="Врезка8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0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Срок, в течение которого разработчиком принимались предложения в связи с проведением публичного обсуждения проекта акта: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 xml:space="preserve">По проекту </w:t>
            </w: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нормативного правового акта </w: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публичные консультации проводились с 21.11.2025 по 11.12.2025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2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1" name="Врезка8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1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об участниках публичных консультаций, извещенных о проведении публичных консультаций: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4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3" name="Врезка8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2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лицах, представивших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6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5" name="Врезка8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3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Сведения о подразделениях разработчика, рассмотревших представленные предложения: Нет</w:t>
            </w:r>
          </w:p>
        </w:tc>
      </w:tr>
      <w:tr>
        <w:trPr>
          <w:cantSplit w:val="true"/>
        </w:trPr>
        <w:tc>
          <w:tcPr>
            <w:tcW w:w="1049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884" w:right="0" w:hanging="851"/>
              <w:jc w:val="both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0" distB="0" distL="0" distR="114935" simplePos="0" locked="0" layoutInCell="1" allowOverlap="1" relativeHeight="16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18415</wp:posOffset>
                      </wp:positionV>
                      <wp:extent cx="442595" cy="212725"/>
                      <wp:effectExtent l="0" t="0" r="0" b="0"/>
                      <wp:wrapSquare wrapText="bothSides"/>
                      <wp:docPr id="167" name="Врезка8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440" cy="21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jc w:val="left"/>
                                    <w:tblInd w:w="447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684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68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</w:tcPr>
                                      <w:p>
                                        <w:pPr>
                                          <w:pStyle w:val="Normal"/>
                                          <w:widowControl w:val="false"/>
                                          <w:numPr>
                                            <w:ilvl w:val="1"/>
                                            <w:numId w:val="3"/>
                                          </w:numPr>
                                          <w:snapToGrid w:val="false"/>
                                          <w:ind w:left="431" w:right="0" w:hanging="431"/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pPr>
                                        <w:r>
                                          <w:rPr>
                                            <w:rFonts w:cs="Times New Roman" w:ascii="Times New Roman" w:hAnsi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  <w:lang w:eastAsia="ru-RU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Normal"/>
                                    <w:widowControl w:val="false"/>
                                    <w:rPr>
                                      <w:rFonts w:cs="Calibri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lIns="4320" rIns="4320" tIns="4320" bIns="43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4" path="m0,0l-2147483645,0l-2147483645,-2147483646l0,-2147483646xe" fillcolor="white" stroked="f" o:allowincell="t" style="position:absolute;margin-left:-0.05pt;margin-top:1.45pt;width:34.8pt;height:16.7pt;mso-wrap-style:none;v-text-anchor:middle;mso-position-horizontal:left">
                      <v:fill o:detectmouseclick="t" type="solid" color2="black"/>
                      <v:stroke color="#3465a4" joinstyle="round" endcap="flat"/>
                      <v:textbox>
                        <w:txbxContent>
                          <w:tbl>
                            <w:tblPr>
                              <w:tblW w:w="5000" w:type="pct"/>
                              <w:jc w:val="left"/>
                              <w:tblInd w:w="447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4"/>
                            </w:tblGrid>
                            <w:tr>
                              <w:trPr/>
                              <w:tc>
                                <w:tcPr>
                                  <w:tcW w:w="6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numPr>
                                      <w:ilvl w:val="1"/>
                                      <w:numId w:val="3"/>
                                    </w:numPr>
                                    <w:snapToGrid w:val="false"/>
                                    <w:ind w:left="431" w:right="0" w:hanging="4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widowControl w:val="false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cs="Times New Roman" w:ascii="Times New Roman" w:hAnsi="Times New Roman"/>
                <w:kern w:val="2"/>
                <w:sz w:val="24"/>
                <w:szCs w:val="24"/>
                <w:lang w:eastAsia="ru-RU"/>
              </w:rPr>
              <w:t>Иные сведения о проведении публичного обсуждения проекта акта: Нет</w:t>
            </w:r>
          </w:p>
        </w:tc>
      </w:tr>
    </w:tbl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Приложение. нет. 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Указание (при наличии) на иные приложения - нет.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Руководитель разработчика                __________________                                        И.М. Волкович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</w:t>
      </w:r>
      <w:r>
        <w:rPr>
          <w:rFonts w:cs="Times New Roman" w:ascii="Times New Roman" w:hAnsi="Times New Roman"/>
          <w:sz w:val="24"/>
          <w:szCs w:val="24"/>
          <w:lang w:eastAsia="ru-RU"/>
        </w:rPr>
        <w:t>одпись</w:t>
      </w:r>
    </w:p>
    <w:p>
      <w:pPr>
        <w:pStyle w:val="Normal"/>
        <w:ind w:left="1701" w:right="0" w:hanging="1701"/>
        <w:jc w:val="both"/>
        <w:rPr/>
      </w:pPr>
      <w:r>
        <w:rPr>
          <w:rFonts w:cs="Times New Roman" w:ascii="Times New Roman" w:hAnsi="Times New Roman"/>
          <w:sz w:val="24"/>
          <w:szCs w:val="24"/>
          <w:lang w:eastAsia="ru-RU"/>
        </w:rPr>
        <w:t>Дата: 12.12.2025</w:t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1701" w:right="0" w:hanging="17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/>
      </w:r>
    </w:p>
    <w:sectPr>
      <w:headerReference w:type="default" r:id="rId5"/>
      <w:headerReference w:type="first" r:id="rId6"/>
      <w:footnotePr>
        <w:numFmt w:val="decimal"/>
      </w:footnotePr>
      <w:type w:val="nextPage"/>
      <w:pgSz w:w="11906" w:h="16838"/>
      <w:pgMar w:left="1134" w:right="566" w:gutter="0" w:header="708" w:top="765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times"/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3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8 сводного отчета.</w:t>
      </w:r>
    </w:p>
  </w:footnote>
  <w:footnote w:id="4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</w:footnote>
  <w:footnote w:id="5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7 сводного отчета.</w:t>
      </w:r>
    </w:p>
    <w:p>
      <w:pPr>
        <w:pStyle w:val="FootnoteText"/>
        <w:widowControl w:val="false"/>
        <w:rPr/>
      </w:pPr>
      <w:r>
        <w:rPr/>
      </w:r>
    </w:p>
    <w:p>
      <w:pPr>
        <w:pStyle w:val="FootnoteText"/>
        <w:widowControl w:val="false"/>
        <w:rPr/>
      </w:pPr>
      <w:r>
        <w:rPr/>
      </w:r>
    </w:p>
    <w:p>
      <w:pPr>
        <w:pStyle w:val="FootnoteText"/>
        <w:widowControl w:val="false"/>
        <w:rPr/>
      </w:pPr>
      <w:r>
        <w:rPr/>
      </w:r>
    </w:p>
    <w:p>
      <w:pPr>
        <w:pStyle w:val="FootnoteText"/>
        <w:widowControl w:val="false"/>
        <w:rPr/>
      </w:pPr>
      <w:r>
        <w:rPr/>
      </w:r>
    </w:p>
    <w:p>
      <w:pPr>
        <w:pStyle w:val="FootnoteText"/>
        <w:widowControl w:val="false"/>
        <w:rPr/>
      </w:pPr>
      <w:r>
        <w:rPr/>
      </w:r>
    </w:p>
    <w:p>
      <w:pPr>
        <w:pStyle w:val="FootnoteText"/>
        <w:widowControl w:val="false"/>
        <w:rPr/>
      </w:pPr>
      <w:r>
        <w:rPr/>
      </w:r>
    </w:p>
  </w:footnote>
  <w:footnote w:id="6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10 сводного отчета.</w:t>
      </w:r>
    </w:p>
  </w:footnote>
  <w:footnote w:id="7">
    <w:p>
      <w:pPr>
        <w:pStyle w:val="FootnoteText"/>
        <w:widowControl w:val="false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Указываются данные из раздела 5 сводного отчета.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0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b/>
        <w:szCs w:val="28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8"/>
        <w:b w:val="false"/>
        <w:szCs w:val="28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7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2">
      <w:start w:val="1"/>
      <w:numFmt w:val="decimal"/>
      <w:lvlText w:val="11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2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1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.%2."/>
      <w:lvlJc w:val="left"/>
      <w:pPr>
        <w:tabs>
          <w:tab w:val="num" w:pos="0"/>
        </w:tabs>
        <w:ind w:left="720" w:hanging="720"/>
      </w:pPr>
      <w:rPr>
        <w:sz w:val="28"/>
        <w:szCs w:val="28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8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9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0">
    <w:lvl w:ilvl="0">
      <w:start w:val="1"/>
      <w:numFmt w:val="decimal"/>
      <w:lvlText w:val="5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11.%2."/>
      <w:lvlJc w:val="left"/>
      <w:pPr>
        <w:tabs>
          <w:tab w:val="num" w:pos="0"/>
        </w:tabs>
        <w:ind w:left="720" w:hanging="720"/>
      </w:pPr>
      <w:rPr>
        <w:sz w:val="28"/>
        <w:b w:val="false"/>
        <w:szCs w:val="28"/>
        <w:bCs w:val="false"/>
        <w:rFonts w:ascii="Times New Roman" w:hAnsi="Times New Roman" w:cs="Times New Roman"/>
      </w:rPr>
    </w:lvl>
    <w:lvl w:ilvl="2">
      <w:start w:val="1"/>
      <w:numFmt w:val="decimal"/>
      <w:lvlText w:val="6.3.%3."/>
      <w:lvlJc w:val="left"/>
      <w:pPr>
        <w:tabs>
          <w:tab w:val="num" w:pos="0"/>
        </w:tabs>
        <w:ind w:left="72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2">
    <w:lvl w:ilvl="0">
      <w:start w:val="1"/>
      <w:numFmt w:val="decimal"/>
      <w:lvlText w:val="6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character" w:styleId="WW8Num2z0">
    <w:name w:val="WW8Num2z0"/>
    <w:qFormat/>
    <w:rPr/>
  </w:style>
  <w:style w:type="character" w:styleId="WW8Num2z1">
    <w:name w:val="WW8Num2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2z2">
    <w:name w:val="WW8Num2z2"/>
    <w:qFormat/>
    <w:rPr>
      <w:b w:val="false"/>
      <w:bCs w:val="false"/>
    </w:rPr>
  </w:style>
  <w:style w:type="character" w:styleId="WW8Num3z0">
    <w:name w:val="WW8Num3z0"/>
    <w:qFormat/>
    <w:rPr>
      <w:b/>
      <w:bCs/>
      <w:sz w:val="28"/>
      <w:szCs w:val="28"/>
    </w:rPr>
  </w:style>
  <w:style w:type="character" w:styleId="WW8Num3z1">
    <w:name w:val="WW8Num3z1"/>
    <w:qFormat/>
    <w:rPr>
      <w:b w:val="false"/>
      <w:bCs w:val="false"/>
      <w:sz w:val="28"/>
      <w:szCs w:val="28"/>
    </w:rPr>
  </w:style>
  <w:style w:type="character" w:styleId="WW8Num3z2">
    <w:name w:val="WW8Num3z2"/>
    <w:qFormat/>
    <w:rPr>
      <w:sz w:val="28"/>
      <w:szCs w:val="28"/>
    </w:rPr>
  </w:style>
  <w:style w:type="character" w:styleId="WW8Num4z0">
    <w:name w:val="WW8Num4z0"/>
    <w:qFormat/>
    <w:rPr/>
  </w:style>
  <w:style w:type="character" w:styleId="WW8Num4z1">
    <w:name w:val="WW8Num4z1"/>
    <w:qFormat/>
    <w:rPr>
      <w:rFonts w:ascii="Times New Roman" w:hAnsi="Times New Roman" w:cs="Times New Roman"/>
      <w:sz w:val="28"/>
      <w:szCs w:val="28"/>
    </w:rPr>
  </w:style>
  <w:style w:type="character" w:styleId="WW8Num4z2">
    <w:name w:val="WW8Num4z2"/>
    <w:qFormat/>
    <w:rPr>
      <w:b w:val="false"/>
      <w:bCs w:val="false"/>
    </w:rPr>
  </w:style>
  <w:style w:type="character" w:styleId="WW8Num5z0">
    <w:name w:val="WW8Num5z0"/>
    <w:qFormat/>
    <w:rPr/>
  </w:style>
  <w:style w:type="character" w:styleId="WW8Num5z1">
    <w:name w:val="WW8Num5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5z2">
    <w:name w:val="WW8Num5z2"/>
    <w:qFormat/>
    <w:rPr>
      <w:b w:val="false"/>
      <w:bCs w:val="false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color w:val="000000"/>
    </w:rPr>
  </w:style>
  <w:style w:type="character" w:styleId="WW8Num6z2">
    <w:name w:val="WW8Num6z2"/>
    <w:qFormat/>
    <w:rPr>
      <w:b w:val="false"/>
      <w:bCs w:val="false"/>
    </w:rPr>
  </w:style>
  <w:style w:type="character" w:styleId="WW8Num7z0">
    <w:name w:val="WW8Num7z0"/>
    <w:qFormat/>
    <w:rPr/>
  </w:style>
  <w:style w:type="character" w:styleId="WW8Num7z1">
    <w:name w:val="WW8Num7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7z2">
    <w:name w:val="WW8Num7z2"/>
    <w:qFormat/>
    <w:rPr>
      <w:b w:val="false"/>
      <w:bCs w:val="false"/>
    </w:rPr>
  </w:style>
  <w:style w:type="character" w:styleId="WW8Num8z0">
    <w:name w:val="WW8Num8z0"/>
    <w:qFormat/>
    <w:rPr/>
  </w:style>
  <w:style w:type="character" w:styleId="WW8Num8z1">
    <w:name w:val="WW8Num8z1"/>
    <w:qFormat/>
    <w:rPr>
      <w:rFonts w:ascii="Times New Roman" w:hAnsi="Times New Roman" w:cs="Times New Roman"/>
      <w:sz w:val="28"/>
      <w:szCs w:val="28"/>
    </w:rPr>
  </w:style>
  <w:style w:type="character" w:styleId="WW8Num8z2">
    <w:name w:val="WW8Num8z2"/>
    <w:qFormat/>
    <w:rPr>
      <w:b w:val="false"/>
      <w:bCs w:val="false"/>
    </w:rPr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9z2">
    <w:name w:val="WW8Num9z2"/>
    <w:qFormat/>
    <w:rPr>
      <w:b w:val="false"/>
      <w:bCs w:val="false"/>
    </w:rPr>
  </w:style>
  <w:style w:type="character" w:styleId="WW8Num10z0">
    <w:name w:val="WW8Num10z0"/>
    <w:qFormat/>
    <w:rPr>
      <w:rFonts w:ascii="Times New Roman" w:hAnsi="Times New Roman" w:cs="Times New Roman"/>
      <w:sz w:val="28"/>
      <w:szCs w:val="28"/>
    </w:rPr>
  </w:style>
  <w:style w:type="character" w:styleId="WW8Num11z0">
    <w:name w:val="WW8Num11z0"/>
    <w:qFormat/>
    <w:rPr/>
  </w:style>
  <w:style w:type="character" w:styleId="WW8Num11z1">
    <w:name w:val="WW8Num1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1z2">
    <w:name w:val="WW8Num11z2"/>
    <w:qFormat/>
    <w:rPr>
      <w:b w:val="false"/>
      <w:bCs w:val="false"/>
    </w:rPr>
  </w:style>
  <w:style w:type="character" w:styleId="WW8Num12z0">
    <w:name w:val="WW8Num12z0"/>
    <w:qFormat/>
    <w:rPr>
      <w:rFonts w:ascii="Times New Roman" w:hAnsi="Times New Roman" w:cs="Times New Roman"/>
      <w:sz w:val="28"/>
      <w:szCs w:val="28"/>
    </w:rPr>
  </w:style>
  <w:style w:type="character" w:styleId="WW8Num13z0">
    <w:name w:val="WW8Num13z0"/>
    <w:qFormat/>
    <w:rPr>
      <w:rFonts w:ascii="Times New Roman" w:hAnsi="Times New Roman" w:cs="Times New Roman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>
      <w:rFonts w:ascii="Times New Roman" w:hAnsi="Times New Roman" w:cs="Times New Roman"/>
      <w:b w:val="false"/>
      <w:bCs w:val="false"/>
      <w:sz w:val="28"/>
      <w:szCs w:val="28"/>
    </w:rPr>
  </w:style>
  <w:style w:type="character" w:styleId="WW8Num1z2">
    <w:name w:val="WW8Num1z2"/>
    <w:qFormat/>
    <w:rPr>
      <w:b w:val="false"/>
      <w:bCs w:val="false"/>
    </w:rPr>
  </w:style>
  <w:style w:type="character" w:styleId="Style9">
    <w:name w:val="Основной шрифт абзаца"/>
    <w:qFormat/>
    <w:rPr/>
  </w:style>
  <w:style w:type="character" w:styleId="Apple-converted-space">
    <w:name w:val="apple-converted-space"/>
    <w:basedOn w:val="Style9"/>
    <w:qFormat/>
    <w:rPr/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1">
    <w:name w:val="Текст сноски Знак"/>
    <w:qFormat/>
    <w:rPr>
      <w:rFonts w:ascii="Times New Roman" w:hAnsi="Times New Roman" w:eastAsia="Calibri" w:cs="Times New Roman"/>
      <w:sz w:val="20"/>
      <w:szCs w:val="20"/>
    </w:rPr>
  </w:style>
  <w:style w:type="character" w:styleId="Style12">
    <w:name w:val="Символ сноски"/>
    <w:qFormat/>
    <w:rPr>
      <w:vertAlign w:val="superscript"/>
    </w:rPr>
  </w:style>
  <w:style w:type="character" w:styleId="Style13">
    <w:name w:val="Верхний колонтитул Знак"/>
    <w:qFormat/>
    <w:rPr>
      <w:rFonts w:ascii="Calibri" w:hAnsi="Calibri" w:eastAsia="Times New Roman" w:cs="Calibri"/>
    </w:rPr>
  </w:style>
  <w:style w:type="character" w:styleId="Style14">
    <w:name w:val="Нижний колонтитул Знак"/>
    <w:qFormat/>
    <w:rPr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character" w:styleId="FootnoteReference1">
    <w:name w:val="Footnote Reference1"/>
    <w:qFormat/>
    <w:rPr>
      <w:vertAlign w:val="superscript"/>
    </w:rPr>
  </w:style>
  <w:style w:type="character" w:styleId="Style15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5">
    <w:name w:val="Footnote Reference5"/>
    <w:qFormat/>
    <w:rPr>
      <w:vertAlign w:val="superscript"/>
    </w:rPr>
  </w:style>
  <w:style w:type="character" w:styleId="EndnoteReference4">
    <w:name w:val="Endnote Reference4"/>
    <w:qFormat/>
    <w:rPr>
      <w:vertAlign w:val="superscript"/>
    </w:rPr>
  </w:style>
  <w:style w:type="character" w:styleId="FootnoteReference6">
    <w:name w:val="Footnote Reference6"/>
    <w:qFormat/>
    <w:rPr>
      <w:vertAlign w:val="superscript"/>
    </w:rPr>
  </w:style>
  <w:style w:type="character" w:styleId="EndnoteReference5">
    <w:name w:val="Endnote Reference5"/>
    <w:qFormat/>
    <w:rPr>
      <w:vertAlign w:val="superscript"/>
    </w:rPr>
  </w:style>
  <w:style w:type="character" w:styleId="FootnoteReference7">
    <w:name w:val="Footnote Reference7"/>
    <w:qFormat/>
    <w:rPr>
      <w:vertAlign w:val="superscript"/>
    </w:rPr>
  </w:style>
  <w:style w:type="character" w:styleId="EndnoteReference6">
    <w:name w:val="Endnote Reference6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Обычный (веб)"/>
    <w:basedOn w:val="Normal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1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rFonts w:ascii="Times New Roman" w:hAnsi="Times New Roman" w:eastAsia="Calibri" w:cs="Times New Roman"/>
      <w:sz w:val="20"/>
      <w:szCs w:val="20"/>
    </w:rPr>
  </w:style>
  <w:style w:type="paragraph" w:styleId="Style20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>
      <w:rFonts w:ascii="Calibri" w:hAnsi="Calibri" w:eastAsia="Times New Roman" w:cs="Calibri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Абзац списка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Calibri" w:cs="Times New Roman"/>
    </w:rPr>
  </w:style>
  <w:style w:type="paragraph" w:styleId="Style22">
    <w:name w:val="Содержимое таблицы"/>
    <w:basedOn w:val="Normal"/>
    <w:qFormat/>
    <w:pPr>
      <w:widowControl w:val="false"/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Style24">
    <w:name w:val="Содержимое врезки"/>
    <w:basedOn w:val="Normal"/>
    <w:qFormat/>
    <w:pPr/>
    <w:rPr/>
  </w:style>
  <w:style w:type="paragraph" w:styleId="BodyTextIndent">
    <w:name w:val="Body Text Indent"/>
    <w:basedOn w:val="Normal"/>
    <w:pPr>
      <w:spacing w:before="0" w:after="120"/>
      <w:ind w:left="283" w:right="0" w:hanging="0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1876063" TargetMode="External"/><Relationship Id="rId3" Type="http://schemas.openxmlformats.org/officeDocument/2006/relationships/hyperlink" Target="http://docs.cntd.ru/document/902135756" TargetMode="External"/><Relationship Id="rId4" Type="http://schemas.openxmlformats.org/officeDocument/2006/relationships/hyperlink" Target="https://login.consultant.ru/link/?req=doc&amp;base=LAW&amp;n=495208&amp;dst=1000000001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1005</TotalTime>
  <Application>AlterOffice/3.4.0.8$Windows_X86_64 LibreOffice_project/8f3f3c847f0b8d6fea24e251d3d8ed4f23cbe23c</Application>
  <AppVersion>15.0000</AppVersion>
  <Pages>9</Pages>
  <Words>2022</Words>
  <Characters>15206</Characters>
  <CharactersWithSpaces>17229</CharactersWithSpaces>
  <Paragraphs>295</Paragraphs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2025-04-15T12:32:00Z</dcterms:created>
  <dc:creator>КОЗЛОВ</dc:creator>
  <dc:description/>
  <dc:language>ru-RU</dc:language>
  <cp:lastModifiedBy>Валентина Алексеевна Людькова</cp:lastModifiedBy>
  <cp:lastPrinted>2025-05-06T15:56:00Z</cp:lastPrinted>
  <dcterms:modified xsi:type="dcterms:W3CDTF">2025-12-09T12:34:35Z</dcterms:modified>
  <cp:revision>29</cp:revision>
  <dc:subject/>
  <dc:title>Список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